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6E" w:rsidRPr="00087400" w:rsidRDefault="004B176E" w:rsidP="004B176E">
      <w:pPr>
        <w:bidi/>
        <w:jc w:val="lowKashida"/>
        <w:rPr>
          <w:b/>
          <w:bCs/>
          <w:sz w:val="32"/>
          <w:rtl/>
        </w:rPr>
      </w:pPr>
      <w:bookmarkStart w:id="0" w:name="_GoBack"/>
      <w:bookmarkEnd w:id="0"/>
      <w:r w:rsidRPr="00087400">
        <w:rPr>
          <w:rFonts w:hint="cs"/>
          <w:b/>
          <w:bCs/>
          <w:sz w:val="32"/>
          <w:rtl/>
        </w:rPr>
        <w:t>المحاضرة الثالث: القلب المكاني:</w:t>
      </w:r>
    </w:p>
    <w:p w:rsidR="004B176E" w:rsidRPr="00087400" w:rsidRDefault="004B176E" w:rsidP="004B176E">
      <w:pPr>
        <w:bidi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 وهو عبارةٌ عن تقديم بعض الحروف على بعض، وذلك لصعوبة تتابعها الأصلي على الذوق اللغوي.</w:t>
      </w:r>
    </w:p>
    <w:p w:rsidR="004B176E" w:rsidRPr="00087400" w:rsidRDefault="004B176E" w:rsidP="004B176E">
      <w:pPr>
        <w:bidi/>
        <w:jc w:val="lowKashida"/>
        <w:rPr>
          <w:b/>
          <w:bCs/>
          <w:sz w:val="32"/>
          <w:rtl/>
        </w:rPr>
      </w:pPr>
      <w:r w:rsidRPr="00087400">
        <w:rPr>
          <w:rFonts w:hint="cs"/>
          <w:b/>
          <w:bCs/>
          <w:sz w:val="32"/>
          <w:rtl/>
        </w:rPr>
        <w:t>كيفية معرفة القلب:</w:t>
      </w:r>
    </w:p>
    <w:p w:rsidR="004B176E" w:rsidRPr="00087400" w:rsidRDefault="004B176E" w:rsidP="004B176E">
      <w:pPr>
        <w:bidi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 يُعرفُ القلبُ المكاني في اللغةِ العربية بواحدٍ من الأمورِ التالية:</w:t>
      </w:r>
    </w:p>
    <w:p w:rsidR="004B176E" w:rsidRPr="00087400" w:rsidRDefault="004B176E" w:rsidP="004B176E">
      <w:pPr>
        <w:pStyle w:val="a3"/>
        <w:numPr>
          <w:ilvl w:val="0"/>
          <w:numId w:val="1"/>
        </w:numPr>
        <w:bidi/>
        <w:jc w:val="lowKashida"/>
        <w:rPr>
          <w:sz w:val="32"/>
        </w:rPr>
      </w:pPr>
      <w:r w:rsidRPr="00087400">
        <w:rPr>
          <w:rFonts w:hint="cs"/>
          <w:b/>
          <w:bCs/>
          <w:sz w:val="32"/>
          <w:rtl/>
        </w:rPr>
        <w:t xml:space="preserve">الرّجوعُ إلى المصدر وهو الأصل: </w:t>
      </w:r>
    </w:p>
    <w:p w:rsidR="004B176E" w:rsidRPr="00087400" w:rsidRDefault="004B176E" w:rsidP="004B176E">
      <w:pPr>
        <w:bidi/>
        <w:ind w:left="473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فمثلًا كلمةُ (ناءَ) بمعنى: بَعُدَ، ومضارعها (يَنَاء)، وهما مقلوبنا عن ( نَأَى، </w:t>
      </w:r>
      <w:proofErr w:type="spellStart"/>
      <w:r w:rsidRPr="00087400">
        <w:rPr>
          <w:rFonts w:hint="cs"/>
          <w:sz w:val="32"/>
          <w:rtl/>
        </w:rPr>
        <w:t>يَنأَى</w:t>
      </w:r>
      <w:proofErr w:type="spellEnd"/>
      <w:r w:rsidRPr="00087400">
        <w:rPr>
          <w:rFonts w:hint="cs"/>
          <w:sz w:val="32"/>
          <w:rtl/>
        </w:rPr>
        <w:t>) والذي يبين ذلك هو المصدر (النّأيُ).</w:t>
      </w:r>
    </w:p>
    <w:p w:rsidR="004B176E" w:rsidRPr="00087400" w:rsidRDefault="004B176E" w:rsidP="004B176E">
      <w:pPr>
        <w:bidi/>
        <w:ind w:left="473" w:firstLine="0"/>
        <w:jc w:val="lowKashida"/>
        <w:rPr>
          <w:sz w:val="32"/>
          <w:rtl/>
        </w:rPr>
      </w:pPr>
    </w:p>
    <w:p w:rsidR="004B176E" w:rsidRPr="00087400" w:rsidRDefault="004B176E" w:rsidP="004B176E">
      <w:pPr>
        <w:pStyle w:val="a3"/>
        <w:numPr>
          <w:ilvl w:val="0"/>
          <w:numId w:val="1"/>
        </w:numPr>
        <w:bidi/>
        <w:jc w:val="lowKashida"/>
        <w:rPr>
          <w:b/>
          <w:bCs/>
          <w:sz w:val="32"/>
        </w:rPr>
      </w:pPr>
      <w:r w:rsidRPr="00087400">
        <w:rPr>
          <w:rFonts w:hint="cs"/>
          <w:b/>
          <w:bCs/>
          <w:sz w:val="32"/>
          <w:rtl/>
        </w:rPr>
        <w:t xml:space="preserve">الاشتقاق: </w:t>
      </w:r>
    </w:p>
    <w:p w:rsidR="004B176E" w:rsidRPr="00087400" w:rsidRDefault="004B176E" w:rsidP="004B176E">
      <w:pPr>
        <w:bidi/>
        <w:ind w:left="473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فمثلًا كلمة (حادي) مقلوبةٌ عن (واحِد)، والذي يوضحُ ذلك هو الاشتقاق نحو: (تَوَحّد، التّوحِيد، الوَحْدَة).</w:t>
      </w:r>
    </w:p>
    <w:p w:rsidR="004B176E" w:rsidRPr="00087400" w:rsidRDefault="004B176E" w:rsidP="004B176E">
      <w:pPr>
        <w:pStyle w:val="a3"/>
        <w:numPr>
          <w:ilvl w:val="0"/>
          <w:numId w:val="1"/>
        </w:numPr>
        <w:bidi/>
        <w:jc w:val="lowKashida"/>
        <w:rPr>
          <w:b/>
          <w:bCs/>
          <w:sz w:val="32"/>
        </w:rPr>
      </w:pPr>
      <w:r w:rsidRPr="00087400">
        <w:rPr>
          <w:rFonts w:hint="cs"/>
          <w:b/>
          <w:bCs/>
          <w:sz w:val="32"/>
          <w:rtl/>
        </w:rPr>
        <w:t>ثبوت منعَ الصّرف بدون مقتضٍ:</w:t>
      </w:r>
    </w:p>
    <w:p w:rsidR="004B176E" w:rsidRPr="00087400" w:rsidRDefault="004B176E" w:rsidP="004B176E">
      <w:pPr>
        <w:bidi/>
        <w:ind w:left="473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نحو كلمة: (أشياء) فهي ممنوعةٌ من الصّرف، مع أنّ صيغتها ليست من الصيغ التي تمنع من الصرف، ومُنعت من الصرف على حسب صيغتها الأصلية قبل القلب المكاني.</w:t>
      </w:r>
    </w:p>
    <w:p w:rsidR="004B176E" w:rsidRPr="00087400" w:rsidRDefault="004B176E" w:rsidP="004B176E">
      <w:pPr>
        <w:bidi/>
        <w:ind w:left="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 فهي في الأصلِ اسم جمعٍ على وزن (فَعْلاء) وهذا الوزن يُمنع من الصّرف؛ لوجود ألف التأنيث الممدودة، فالأصل في الكلمة (</w:t>
      </w:r>
      <w:proofErr w:type="spellStart"/>
      <w:r w:rsidRPr="00087400">
        <w:rPr>
          <w:rFonts w:hint="cs"/>
          <w:sz w:val="32"/>
          <w:rtl/>
        </w:rPr>
        <w:t>شَيئاء</w:t>
      </w:r>
      <w:proofErr w:type="spellEnd"/>
      <w:r w:rsidRPr="00087400">
        <w:rPr>
          <w:rFonts w:hint="cs"/>
          <w:sz w:val="32"/>
          <w:rtl/>
        </w:rPr>
        <w:t>) إذ تقدمت الهمزة على الشين؛ كراهة اجتماع همزتين بينهما حاجز غير حصين.</w:t>
      </w:r>
    </w:p>
    <w:p w:rsidR="004B176E" w:rsidRPr="00087400" w:rsidRDefault="004B176E" w:rsidP="004B176E">
      <w:pPr>
        <w:bidi/>
        <w:ind w:left="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وللكسائي رأيٌ آخر فقد عدّها جمعًا لـ(شَيء)، مثل: (بَيت، أبيات)، وذهبَ إلى أنّ السبب في منعها من الصرف هو توهم زيادة الهمزة فيها للتأنيث، نحو: بيضاء، حمراء، مع أنّها أصلية نحو :أهواء وأسماء.</w:t>
      </w:r>
    </w:p>
    <w:p w:rsidR="00737393" w:rsidRDefault="00737393" w:rsidP="004B176E">
      <w:pPr>
        <w:bidi/>
        <w:jc w:val="left"/>
        <w:rPr>
          <w:rtl/>
        </w:rPr>
      </w:pPr>
    </w:p>
    <w:sectPr w:rsidR="00737393" w:rsidSect="00E81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26CF"/>
    <w:multiLevelType w:val="hybridMultilevel"/>
    <w:tmpl w:val="6DD289AC"/>
    <w:lvl w:ilvl="0" w:tplc="2D4413EA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6E"/>
    <w:rsid w:val="004B176E"/>
    <w:rsid w:val="00737393"/>
    <w:rsid w:val="00806DA6"/>
    <w:rsid w:val="00904FB5"/>
    <w:rsid w:val="00B90296"/>
    <w:rsid w:val="00E8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6E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6E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DR.Ahmed Saker 2O11</cp:lastModifiedBy>
  <cp:revision>2</cp:revision>
  <dcterms:created xsi:type="dcterms:W3CDTF">2026-05-20T18:21:00Z</dcterms:created>
  <dcterms:modified xsi:type="dcterms:W3CDTF">2026-05-20T18:21:00Z</dcterms:modified>
</cp:coreProperties>
</file>